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6E3CA" w14:textId="77777777" w:rsidR="00943D43" w:rsidRDefault="00943D43" w:rsidP="00943D43">
      <w:pPr>
        <w:jc w:val="both"/>
        <w:rPr>
          <w:rStyle w:val="Textoennegrita"/>
          <w:rFonts w:ascii="Trebuchet MS" w:hAnsi="Trebuchet MS" w:cs="Helvetica"/>
          <w:b w:val="0"/>
          <w:color w:val="000000"/>
          <w:sz w:val="23"/>
          <w:szCs w:val="23"/>
          <w:shd w:val="clear" w:color="auto" w:fill="FFFFFF"/>
        </w:rPr>
      </w:pPr>
    </w:p>
    <w:p w14:paraId="579D9A6B" w14:textId="77777777" w:rsidR="00943D43" w:rsidRPr="00943D43" w:rsidRDefault="00943D43" w:rsidP="00943D43">
      <w:pPr>
        <w:jc w:val="both"/>
        <w:rPr>
          <w:rFonts w:ascii="Trebuchet MS" w:hAnsi="Trebuchet MS" w:cs="Helvetica"/>
          <w:color w:val="000000"/>
          <w:sz w:val="23"/>
          <w:szCs w:val="23"/>
          <w:shd w:val="clear" w:color="auto" w:fill="FFFFFF"/>
        </w:rPr>
      </w:pPr>
      <w:r w:rsidRPr="00943D43">
        <w:rPr>
          <w:rStyle w:val="Textoennegrita"/>
          <w:rFonts w:ascii="Trebuchet MS" w:hAnsi="Trebuchet MS" w:cs="Helvetica"/>
          <w:b w:val="0"/>
          <w:color w:val="000000"/>
          <w:sz w:val="23"/>
          <w:szCs w:val="23"/>
          <w:shd w:val="clear" w:color="auto" w:fill="FFFFFF"/>
        </w:rPr>
        <w:t>Autora:</w:t>
      </w:r>
      <w:r w:rsidRPr="00943D43">
        <w:rPr>
          <w:rStyle w:val="Textoennegrita"/>
          <w:rFonts w:ascii="Trebuchet MS" w:hAnsi="Trebuchet MS" w:cs="Helvetica"/>
          <w:color w:val="000000"/>
          <w:sz w:val="23"/>
          <w:szCs w:val="23"/>
          <w:shd w:val="clear" w:color="auto" w:fill="FFFFFF"/>
        </w:rPr>
        <w:t xml:space="preserve"> Berta Vidal-</w:t>
      </w:r>
      <w:proofErr w:type="spellStart"/>
      <w:r w:rsidRPr="00943D43">
        <w:rPr>
          <w:rStyle w:val="Textoennegrita"/>
          <w:rFonts w:ascii="Trebuchet MS" w:hAnsi="Trebuchet MS" w:cs="Helvetica"/>
          <w:color w:val="000000"/>
          <w:sz w:val="23"/>
          <w:szCs w:val="23"/>
          <w:shd w:val="clear" w:color="auto" w:fill="FFFFFF"/>
        </w:rPr>
        <w:t>Monés</w:t>
      </w:r>
      <w:proofErr w:type="spellEnd"/>
      <w:r w:rsidRPr="00943D43">
        <w:rPr>
          <w:rStyle w:val="Textoennegrita"/>
          <w:rFonts w:ascii="Trebuchet MS" w:hAnsi="Trebuchet MS" w:cs="Helvetica"/>
          <w:color w:val="000000"/>
          <w:sz w:val="23"/>
          <w:szCs w:val="23"/>
          <w:shd w:val="clear" w:color="auto" w:fill="FFFFFF"/>
        </w:rPr>
        <w:t xml:space="preserve">, </w:t>
      </w:r>
      <w:proofErr w:type="spellStart"/>
      <w:r w:rsidRPr="00943D43">
        <w:rPr>
          <w:rFonts w:ascii="Trebuchet MS" w:hAnsi="Trebuchet MS" w:cs="Helvetica"/>
          <w:color w:val="000000"/>
          <w:sz w:val="23"/>
          <w:szCs w:val="23"/>
          <w:shd w:val="clear" w:color="auto" w:fill="FFFFFF"/>
        </w:rPr>
        <w:t>Universitat</w:t>
      </w:r>
      <w:proofErr w:type="spellEnd"/>
      <w:r w:rsidRPr="00943D43">
        <w:rPr>
          <w:rFonts w:ascii="Trebuchet MS" w:hAnsi="Trebuchet MS" w:cs="Helvetica"/>
          <w:color w:val="000000"/>
          <w:sz w:val="23"/>
          <w:szCs w:val="23"/>
          <w:shd w:val="clear" w:color="auto" w:fill="FFFFFF"/>
        </w:rPr>
        <w:t xml:space="preserve"> </w:t>
      </w:r>
      <w:proofErr w:type="spellStart"/>
      <w:r w:rsidRPr="00943D43">
        <w:rPr>
          <w:rFonts w:ascii="Trebuchet MS" w:hAnsi="Trebuchet MS" w:cs="Helvetica"/>
          <w:color w:val="000000"/>
          <w:sz w:val="23"/>
          <w:szCs w:val="23"/>
          <w:shd w:val="clear" w:color="auto" w:fill="FFFFFF"/>
        </w:rPr>
        <w:t>Politècnica</w:t>
      </w:r>
      <w:proofErr w:type="spellEnd"/>
      <w:r w:rsidRPr="00943D43">
        <w:rPr>
          <w:rFonts w:ascii="Trebuchet MS" w:hAnsi="Trebuchet MS" w:cs="Helvetica"/>
          <w:color w:val="000000"/>
          <w:sz w:val="23"/>
          <w:szCs w:val="23"/>
          <w:shd w:val="clear" w:color="auto" w:fill="FFFFFF"/>
        </w:rPr>
        <w:t xml:space="preserve"> de Catalunya</w:t>
      </w:r>
    </w:p>
    <w:p w14:paraId="5439D323" w14:textId="77777777" w:rsidR="004B49AD" w:rsidRPr="00943D43" w:rsidRDefault="00943D43" w:rsidP="00943D43">
      <w:pPr>
        <w:jc w:val="both"/>
        <w:rPr>
          <w:rStyle w:val="Textoennegrita"/>
          <w:rFonts w:ascii="Trebuchet MS" w:hAnsi="Trebuchet MS" w:cs="Helvetica"/>
          <w:color w:val="000000"/>
          <w:sz w:val="23"/>
          <w:szCs w:val="23"/>
          <w:shd w:val="clear" w:color="auto" w:fill="FFFFFF"/>
        </w:rPr>
      </w:pPr>
      <w:proofErr w:type="spellStart"/>
      <w:r w:rsidRPr="00943D43">
        <w:rPr>
          <w:rFonts w:ascii="Trebuchet MS" w:hAnsi="Trebuchet MS"/>
        </w:rPr>
        <w:t>Títol</w:t>
      </w:r>
      <w:proofErr w:type="spellEnd"/>
      <w:r w:rsidRPr="00943D43">
        <w:rPr>
          <w:rFonts w:ascii="Trebuchet MS" w:hAnsi="Trebuchet MS"/>
        </w:rPr>
        <w:t xml:space="preserve">: </w:t>
      </w:r>
      <w:proofErr w:type="spellStart"/>
      <w:r w:rsidRPr="00943D43">
        <w:rPr>
          <w:rStyle w:val="Textoennegrita"/>
          <w:rFonts w:ascii="Trebuchet MS" w:hAnsi="Trebuchet MS" w:cs="Helvetica"/>
          <w:color w:val="000000"/>
          <w:sz w:val="23"/>
          <w:szCs w:val="23"/>
          <w:shd w:val="clear" w:color="auto" w:fill="FFFFFF"/>
        </w:rPr>
        <w:t>Prevenció</w:t>
      </w:r>
      <w:proofErr w:type="spellEnd"/>
      <w:r w:rsidRPr="00943D43">
        <w:rPr>
          <w:rStyle w:val="Textoennegrita"/>
          <w:rFonts w:ascii="Trebuchet MS" w:hAnsi="Trebuchet MS" w:cs="Helvetica"/>
          <w:color w:val="000000"/>
          <w:sz w:val="23"/>
          <w:szCs w:val="23"/>
          <w:shd w:val="clear" w:color="auto" w:fill="FFFFFF"/>
        </w:rPr>
        <w:t xml:space="preserve"> i </w:t>
      </w:r>
      <w:proofErr w:type="spellStart"/>
      <w:r w:rsidRPr="00943D43">
        <w:rPr>
          <w:rStyle w:val="Textoennegrita"/>
          <w:rFonts w:ascii="Trebuchet MS" w:hAnsi="Trebuchet MS" w:cs="Helvetica"/>
          <w:color w:val="000000"/>
          <w:sz w:val="23"/>
          <w:szCs w:val="23"/>
          <w:shd w:val="clear" w:color="auto" w:fill="FFFFFF"/>
        </w:rPr>
        <w:t>reducció</w:t>
      </w:r>
      <w:proofErr w:type="spellEnd"/>
      <w:r w:rsidRPr="00943D43">
        <w:rPr>
          <w:rStyle w:val="Textoennegrita"/>
          <w:rFonts w:ascii="Trebuchet MS" w:hAnsi="Trebuchet MS" w:cs="Helvetica"/>
          <w:color w:val="000000"/>
          <w:sz w:val="23"/>
          <w:szCs w:val="23"/>
          <w:shd w:val="clear" w:color="auto" w:fill="FFFFFF"/>
        </w:rPr>
        <w:t xml:space="preserve"> del </w:t>
      </w:r>
      <w:proofErr w:type="spellStart"/>
      <w:r w:rsidRPr="00943D43">
        <w:rPr>
          <w:rStyle w:val="Textoennegrita"/>
          <w:rFonts w:ascii="Trebuchet MS" w:hAnsi="Trebuchet MS" w:cs="Helvetica"/>
          <w:color w:val="000000"/>
          <w:sz w:val="23"/>
          <w:szCs w:val="23"/>
          <w:shd w:val="clear" w:color="auto" w:fill="FFFFFF"/>
        </w:rPr>
        <w:t>malbaratament</w:t>
      </w:r>
      <w:proofErr w:type="spellEnd"/>
      <w:r w:rsidRPr="00943D43">
        <w:rPr>
          <w:rStyle w:val="Textoennegrita"/>
          <w:rFonts w:ascii="Trebuchet MS" w:hAnsi="Trebuchet MS" w:cs="Helvetica"/>
          <w:color w:val="000000"/>
          <w:sz w:val="23"/>
          <w:szCs w:val="23"/>
          <w:shd w:val="clear" w:color="auto" w:fill="FFFFFF"/>
        </w:rPr>
        <w:t xml:space="preserve"> </w:t>
      </w:r>
      <w:proofErr w:type="spellStart"/>
      <w:r w:rsidRPr="00943D43">
        <w:rPr>
          <w:rStyle w:val="Textoennegrita"/>
          <w:rFonts w:ascii="Trebuchet MS" w:hAnsi="Trebuchet MS" w:cs="Helvetica"/>
          <w:color w:val="000000"/>
          <w:sz w:val="23"/>
          <w:szCs w:val="23"/>
          <w:shd w:val="clear" w:color="auto" w:fill="FFFFFF"/>
        </w:rPr>
        <w:t>alimentari</w:t>
      </w:r>
      <w:proofErr w:type="spellEnd"/>
      <w:r w:rsidRPr="00943D43">
        <w:rPr>
          <w:rStyle w:val="Textoennegrita"/>
          <w:rFonts w:ascii="Trebuchet MS" w:hAnsi="Trebuchet MS" w:cs="Helvetica"/>
          <w:color w:val="000000"/>
          <w:sz w:val="23"/>
          <w:szCs w:val="23"/>
          <w:shd w:val="clear" w:color="auto" w:fill="FFFFFF"/>
        </w:rPr>
        <w:t xml:space="preserve"> en </w:t>
      </w:r>
      <w:proofErr w:type="spellStart"/>
      <w:r w:rsidRPr="00943D43">
        <w:rPr>
          <w:rStyle w:val="Textoennegrita"/>
          <w:rFonts w:ascii="Trebuchet MS" w:hAnsi="Trebuchet MS" w:cs="Helvetica"/>
          <w:color w:val="000000"/>
          <w:sz w:val="23"/>
          <w:szCs w:val="23"/>
          <w:shd w:val="clear" w:color="auto" w:fill="FFFFFF"/>
        </w:rPr>
        <w:t>els</w:t>
      </w:r>
      <w:proofErr w:type="spellEnd"/>
      <w:r w:rsidRPr="00943D43">
        <w:rPr>
          <w:rStyle w:val="Textoennegrita"/>
          <w:rFonts w:ascii="Trebuchet MS" w:hAnsi="Trebuchet MS" w:cs="Helvetica"/>
          <w:color w:val="000000"/>
          <w:sz w:val="23"/>
          <w:szCs w:val="23"/>
          <w:shd w:val="clear" w:color="auto" w:fill="FFFFFF"/>
        </w:rPr>
        <w:t xml:space="preserve"> </w:t>
      </w:r>
      <w:proofErr w:type="spellStart"/>
      <w:r w:rsidRPr="00943D43">
        <w:rPr>
          <w:rStyle w:val="Textoennegrita"/>
          <w:rFonts w:ascii="Trebuchet MS" w:hAnsi="Trebuchet MS" w:cs="Helvetica"/>
          <w:color w:val="000000"/>
          <w:sz w:val="23"/>
          <w:szCs w:val="23"/>
          <w:shd w:val="clear" w:color="auto" w:fill="FFFFFF"/>
        </w:rPr>
        <w:t>menjadors</w:t>
      </w:r>
      <w:proofErr w:type="spellEnd"/>
      <w:r w:rsidRPr="00943D43">
        <w:rPr>
          <w:rStyle w:val="Textoennegrita"/>
          <w:rFonts w:ascii="Trebuchet MS" w:hAnsi="Trebuchet MS" w:cs="Helvetica"/>
          <w:color w:val="000000"/>
          <w:sz w:val="23"/>
          <w:szCs w:val="23"/>
          <w:shd w:val="clear" w:color="auto" w:fill="FFFFFF"/>
        </w:rPr>
        <w:t xml:space="preserve"> </w:t>
      </w:r>
      <w:proofErr w:type="spellStart"/>
      <w:r w:rsidRPr="00943D43">
        <w:rPr>
          <w:rStyle w:val="Textoennegrita"/>
          <w:rFonts w:ascii="Trebuchet MS" w:hAnsi="Trebuchet MS" w:cs="Helvetica"/>
          <w:color w:val="000000"/>
          <w:sz w:val="23"/>
          <w:szCs w:val="23"/>
          <w:shd w:val="clear" w:color="auto" w:fill="FFFFFF"/>
        </w:rPr>
        <w:t>escolars</w:t>
      </w:r>
      <w:proofErr w:type="spellEnd"/>
      <w:r w:rsidRPr="00943D43">
        <w:rPr>
          <w:rStyle w:val="Textoennegrita"/>
          <w:rFonts w:ascii="Trebuchet MS" w:hAnsi="Trebuchet MS" w:cs="Helvetica"/>
          <w:color w:val="000000"/>
          <w:sz w:val="23"/>
          <w:szCs w:val="23"/>
          <w:shd w:val="clear" w:color="auto" w:fill="FFFFFF"/>
        </w:rPr>
        <w:t xml:space="preserve"> de </w:t>
      </w:r>
      <w:proofErr w:type="spellStart"/>
      <w:r w:rsidRPr="00943D43">
        <w:rPr>
          <w:rStyle w:val="Textoennegrita"/>
          <w:rFonts w:ascii="Trebuchet MS" w:hAnsi="Trebuchet MS" w:cs="Helvetica"/>
          <w:color w:val="000000"/>
          <w:sz w:val="23"/>
          <w:szCs w:val="23"/>
          <w:shd w:val="clear" w:color="auto" w:fill="FFFFFF"/>
        </w:rPr>
        <w:t>l’Àrea</w:t>
      </w:r>
      <w:proofErr w:type="spellEnd"/>
      <w:r w:rsidRPr="00943D43">
        <w:rPr>
          <w:rStyle w:val="Textoennegrita"/>
          <w:rFonts w:ascii="Trebuchet MS" w:hAnsi="Trebuchet MS" w:cs="Helvetica"/>
          <w:color w:val="000000"/>
          <w:sz w:val="23"/>
          <w:szCs w:val="23"/>
          <w:shd w:val="clear" w:color="auto" w:fill="FFFFFF"/>
        </w:rPr>
        <w:t xml:space="preserve"> Metropolitana</w:t>
      </w:r>
    </w:p>
    <w:p w14:paraId="4965BE81" w14:textId="77777777" w:rsidR="00943D43" w:rsidRPr="00943D43" w:rsidRDefault="00943D43" w:rsidP="00943D43">
      <w:pPr>
        <w:pStyle w:val="Default"/>
        <w:jc w:val="both"/>
        <w:rPr>
          <w:rStyle w:val="Textoennegrita"/>
          <w:rFonts w:ascii="Trebuchet MS" w:hAnsi="Trebuchet MS" w:cs="Helvetica"/>
          <w:sz w:val="23"/>
          <w:szCs w:val="23"/>
          <w:shd w:val="clear" w:color="auto" w:fill="FFFFFF"/>
        </w:rPr>
      </w:pPr>
      <w:proofErr w:type="spellStart"/>
      <w:r w:rsidRPr="00FC61BC">
        <w:rPr>
          <w:rFonts w:ascii="Trebuchet MS" w:hAnsi="Trebuchet MS" w:cs="Helvetica"/>
          <w:b/>
          <w:sz w:val="23"/>
          <w:szCs w:val="23"/>
          <w:shd w:val="clear" w:color="auto" w:fill="FFFFFF"/>
        </w:rPr>
        <w:t>Resum</w:t>
      </w:r>
      <w:proofErr w:type="spellEnd"/>
      <w:r w:rsidRPr="00FC61BC">
        <w:rPr>
          <w:rFonts w:ascii="Trebuchet MS" w:hAnsi="Trebuchet MS" w:cs="Helvetica"/>
          <w:b/>
          <w:sz w:val="23"/>
          <w:szCs w:val="23"/>
          <w:shd w:val="clear" w:color="auto" w:fill="FFFFFF"/>
        </w:rPr>
        <w:t>:</w:t>
      </w:r>
      <w:r w:rsidRPr="00943D43">
        <w:rPr>
          <w:rFonts w:ascii="Trebuchet MS" w:hAnsi="Trebuchet MS"/>
        </w:rPr>
        <w:t xml:space="preserve"> </w:t>
      </w:r>
      <w:r w:rsidRPr="00943D43">
        <w:rPr>
          <w:rFonts w:ascii="Trebuchet MS" w:hAnsi="Trebuchet MS"/>
          <w:sz w:val="22"/>
          <w:szCs w:val="22"/>
        </w:rPr>
        <w:t xml:space="preserve">La </w:t>
      </w:r>
      <w:proofErr w:type="spellStart"/>
      <w:r w:rsidRPr="00943D43">
        <w:rPr>
          <w:rFonts w:ascii="Trebuchet MS" w:hAnsi="Trebuchet MS"/>
          <w:sz w:val="22"/>
          <w:szCs w:val="22"/>
        </w:rPr>
        <w:t>prevenció</w:t>
      </w:r>
      <w:proofErr w:type="spellEnd"/>
      <w:r w:rsidRPr="00943D43">
        <w:rPr>
          <w:rFonts w:ascii="Trebuchet MS" w:hAnsi="Trebuchet MS"/>
          <w:sz w:val="22"/>
          <w:szCs w:val="22"/>
        </w:rPr>
        <w:t xml:space="preserve"> del </w:t>
      </w:r>
      <w:proofErr w:type="spellStart"/>
      <w:r w:rsidRPr="00943D43">
        <w:rPr>
          <w:rFonts w:ascii="Trebuchet MS" w:hAnsi="Trebuchet MS"/>
          <w:sz w:val="22"/>
          <w:szCs w:val="22"/>
        </w:rPr>
        <w:t>malbaratament</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alimentari</w:t>
      </w:r>
      <w:proofErr w:type="spellEnd"/>
      <w:r w:rsidRPr="00943D43">
        <w:rPr>
          <w:rFonts w:ascii="Trebuchet MS" w:hAnsi="Trebuchet MS"/>
          <w:sz w:val="22"/>
          <w:szCs w:val="22"/>
        </w:rPr>
        <w:t xml:space="preserve"> (MA) </w:t>
      </w:r>
      <w:proofErr w:type="spellStart"/>
      <w:r w:rsidRPr="00943D43">
        <w:rPr>
          <w:rFonts w:ascii="Trebuchet MS" w:hAnsi="Trebuchet MS"/>
          <w:sz w:val="22"/>
          <w:szCs w:val="22"/>
        </w:rPr>
        <w:t>és</w:t>
      </w:r>
      <w:proofErr w:type="spellEnd"/>
      <w:r w:rsidRPr="00943D43">
        <w:rPr>
          <w:rFonts w:ascii="Trebuchet MS" w:hAnsi="Trebuchet MS"/>
          <w:sz w:val="22"/>
          <w:szCs w:val="22"/>
        </w:rPr>
        <w:t xml:space="preserve"> una de les mesures </w:t>
      </w:r>
      <w:proofErr w:type="spellStart"/>
      <w:r w:rsidRPr="00943D43">
        <w:rPr>
          <w:rFonts w:ascii="Trebuchet MS" w:hAnsi="Trebuchet MS"/>
          <w:sz w:val="22"/>
          <w:szCs w:val="22"/>
        </w:rPr>
        <w:t>essencials</w:t>
      </w:r>
      <w:proofErr w:type="spellEnd"/>
      <w:r w:rsidRPr="00943D43">
        <w:rPr>
          <w:rFonts w:ascii="Trebuchet MS" w:hAnsi="Trebuchet MS"/>
          <w:sz w:val="22"/>
          <w:szCs w:val="22"/>
        </w:rPr>
        <w:t xml:space="preserve"> per </w:t>
      </w:r>
      <w:proofErr w:type="spellStart"/>
      <w:r w:rsidRPr="00943D43">
        <w:rPr>
          <w:rFonts w:ascii="Trebuchet MS" w:hAnsi="Trebuchet MS"/>
          <w:sz w:val="22"/>
          <w:szCs w:val="22"/>
        </w:rPr>
        <w:t>assolir</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els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Objectius</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Desenvolupament</w:t>
      </w:r>
      <w:proofErr w:type="spellEnd"/>
      <w:r w:rsidRPr="00943D43">
        <w:rPr>
          <w:rFonts w:ascii="Trebuchet MS" w:hAnsi="Trebuchet MS"/>
          <w:sz w:val="22"/>
          <w:szCs w:val="22"/>
        </w:rPr>
        <w:t xml:space="preserve"> Sostenible. </w:t>
      </w:r>
      <w:proofErr w:type="spellStart"/>
      <w:r w:rsidRPr="00943D43">
        <w:rPr>
          <w:rFonts w:ascii="Trebuchet MS" w:hAnsi="Trebuchet MS"/>
          <w:sz w:val="22"/>
          <w:szCs w:val="22"/>
        </w:rPr>
        <w:t>Fins</w:t>
      </w:r>
      <w:proofErr w:type="spellEnd"/>
      <w:r w:rsidRPr="00943D43">
        <w:rPr>
          <w:rFonts w:ascii="Trebuchet MS" w:hAnsi="Trebuchet MS"/>
          <w:sz w:val="22"/>
          <w:szCs w:val="22"/>
        </w:rPr>
        <w:t xml:space="preserve"> ara, la </w:t>
      </w:r>
      <w:proofErr w:type="spellStart"/>
      <w:r w:rsidRPr="00943D43">
        <w:rPr>
          <w:rFonts w:ascii="Trebuchet MS" w:hAnsi="Trebuchet MS"/>
          <w:sz w:val="22"/>
          <w:szCs w:val="22"/>
        </w:rPr>
        <w:t>majoria</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dels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estudis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s’han</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centrat</w:t>
      </w:r>
      <w:proofErr w:type="spellEnd"/>
      <w:r w:rsidRPr="00943D43">
        <w:rPr>
          <w:rFonts w:ascii="Trebuchet MS" w:hAnsi="Trebuchet MS"/>
          <w:sz w:val="22"/>
          <w:szCs w:val="22"/>
        </w:rPr>
        <w:t xml:space="preserve"> en </w:t>
      </w:r>
      <w:proofErr w:type="spellStart"/>
      <w:r w:rsidRPr="00943D43">
        <w:rPr>
          <w:rFonts w:ascii="Trebuchet MS" w:hAnsi="Trebuchet MS"/>
          <w:sz w:val="22"/>
          <w:szCs w:val="22"/>
        </w:rPr>
        <w:t>l’anàlisi</w:t>
      </w:r>
      <w:proofErr w:type="spellEnd"/>
      <w:r w:rsidRPr="00943D43">
        <w:rPr>
          <w:rFonts w:ascii="Trebuchet MS" w:hAnsi="Trebuchet MS"/>
          <w:sz w:val="22"/>
          <w:szCs w:val="22"/>
        </w:rPr>
        <w:t xml:space="preserve"> del </w:t>
      </w:r>
      <w:proofErr w:type="spellStart"/>
      <w:r w:rsidRPr="00943D43">
        <w:rPr>
          <w:rFonts w:ascii="Trebuchet MS" w:hAnsi="Trebuchet MS"/>
          <w:sz w:val="22"/>
          <w:szCs w:val="22"/>
        </w:rPr>
        <w:t>concepte</w:t>
      </w:r>
      <w:proofErr w:type="spellEnd"/>
      <w:r w:rsidRPr="00943D43">
        <w:rPr>
          <w:rFonts w:ascii="Trebuchet MS" w:hAnsi="Trebuchet MS"/>
          <w:sz w:val="22"/>
          <w:szCs w:val="22"/>
        </w:rPr>
        <w:t>, les causes i la re-</w:t>
      </w:r>
      <w:proofErr w:type="spellStart"/>
      <w:r w:rsidRPr="00943D43">
        <w:rPr>
          <w:rFonts w:ascii="Trebuchet MS" w:hAnsi="Trebuchet MS"/>
          <w:sz w:val="22"/>
          <w:szCs w:val="22"/>
        </w:rPr>
        <w:t>valorització</w:t>
      </w:r>
      <w:proofErr w:type="spellEnd"/>
      <w:r w:rsidRPr="00943D43">
        <w:rPr>
          <w:rFonts w:ascii="Trebuchet MS" w:hAnsi="Trebuchet MS"/>
          <w:sz w:val="22"/>
          <w:szCs w:val="22"/>
        </w:rPr>
        <w:t xml:space="preserve"> del MA, entre </w:t>
      </w:r>
      <w:proofErr w:type="spellStart"/>
      <w:r w:rsidRPr="00943D43">
        <w:rPr>
          <w:rFonts w:ascii="Trebuchet MS" w:hAnsi="Trebuchet MS"/>
          <w:sz w:val="22"/>
          <w:szCs w:val="22"/>
        </w:rPr>
        <w:t>d’altres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però</w:t>
      </w:r>
      <w:proofErr w:type="spellEnd"/>
      <w:r w:rsidRPr="00943D43">
        <w:rPr>
          <w:rFonts w:ascii="Trebuchet MS" w:hAnsi="Trebuchet MS"/>
          <w:sz w:val="22"/>
          <w:szCs w:val="22"/>
        </w:rPr>
        <w:t xml:space="preserve"> encara manquen </w:t>
      </w:r>
      <w:proofErr w:type="spellStart"/>
      <w:r w:rsidRPr="00943D43">
        <w:rPr>
          <w:rFonts w:ascii="Trebuchet MS" w:hAnsi="Trebuchet MS"/>
          <w:sz w:val="22"/>
          <w:szCs w:val="22"/>
        </w:rPr>
        <w:t>dades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reals</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volums</w:t>
      </w:r>
      <w:proofErr w:type="spellEnd"/>
      <w:r w:rsidRPr="00943D43">
        <w:rPr>
          <w:rFonts w:ascii="Trebuchet MS" w:hAnsi="Trebuchet MS"/>
          <w:sz w:val="22"/>
          <w:szCs w:val="22"/>
        </w:rPr>
        <w:t xml:space="preserve"> de MA i </w:t>
      </w:r>
      <w:proofErr w:type="spellStart"/>
      <w:r w:rsidRPr="00943D43">
        <w:rPr>
          <w:rFonts w:ascii="Trebuchet MS" w:hAnsi="Trebuchet MS"/>
          <w:sz w:val="22"/>
          <w:szCs w:val="22"/>
        </w:rPr>
        <w:t>l’estudi</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l’impacte</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diferents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estratègies</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prevenció</w:t>
      </w:r>
      <w:proofErr w:type="spellEnd"/>
      <w:r w:rsidRPr="00943D43">
        <w:rPr>
          <w:rFonts w:ascii="Trebuchet MS" w:hAnsi="Trebuchet MS"/>
          <w:sz w:val="22"/>
          <w:szCs w:val="22"/>
        </w:rPr>
        <w:t xml:space="preserve">. El sector de la </w:t>
      </w:r>
      <w:proofErr w:type="spellStart"/>
      <w:r w:rsidRPr="00943D43">
        <w:rPr>
          <w:rFonts w:ascii="Trebuchet MS" w:hAnsi="Trebuchet MS"/>
          <w:sz w:val="22"/>
          <w:szCs w:val="22"/>
        </w:rPr>
        <w:t>restauració</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col·lectiva</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com</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els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menjadors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escolars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ofereixen</w:t>
      </w:r>
      <w:proofErr w:type="spellEnd"/>
      <w:r w:rsidRPr="00943D43">
        <w:rPr>
          <w:rFonts w:ascii="Trebuchet MS" w:hAnsi="Trebuchet MS"/>
          <w:sz w:val="22"/>
          <w:szCs w:val="22"/>
        </w:rPr>
        <w:t xml:space="preserve"> un </w:t>
      </w:r>
      <w:proofErr w:type="spellStart"/>
      <w:r w:rsidRPr="00943D43">
        <w:rPr>
          <w:rFonts w:ascii="Trebuchet MS" w:hAnsi="Trebuchet MS"/>
          <w:sz w:val="22"/>
          <w:szCs w:val="22"/>
        </w:rPr>
        <w:t>escenari</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adequat</w:t>
      </w:r>
      <w:proofErr w:type="spellEnd"/>
      <w:r w:rsidRPr="00943D43">
        <w:rPr>
          <w:rFonts w:ascii="Trebuchet MS" w:hAnsi="Trebuchet MS"/>
          <w:sz w:val="22"/>
          <w:szCs w:val="22"/>
        </w:rPr>
        <w:t xml:space="preserve"> per avaluar </w:t>
      </w:r>
      <w:proofErr w:type="spellStart"/>
      <w:r w:rsidRPr="00943D43">
        <w:rPr>
          <w:rFonts w:ascii="Trebuchet MS" w:hAnsi="Trebuchet MS"/>
          <w:sz w:val="22"/>
          <w:szCs w:val="22"/>
        </w:rPr>
        <w:t>diferents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estratègies</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prevenció</w:t>
      </w:r>
      <w:proofErr w:type="spellEnd"/>
      <w:r w:rsidRPr="00943D43">
        <w:rPr>
          <w:rFonts w:ascii="Trebuchet MS" w:hAnsi="Trebuchet MS"/>
          <w:sz w:val="22"/>
          <w:szCs w:val="22"/>
        </w:rPr>
        <w:t xml:space="preserve"> del MA </w:t>
      </w:r>
      <w:proofErr w:type="spellStart"/>
      <w:r w:rsidRPr="00943D43">
        <w:rPr>
          <w:rFonts w:ascii="Trebuchet MS" w:hAnsi="Trebuchet MS"/>
          <w:sz w:val="22"/>
          <w:szCs w:val="22"/>
        </w:rPr>
        <w:t>degut</w:t>
      </w:r>
      <w:proofErr w:type="spellEnd"/>
      <w:r w:rsidRPr="00943D43">
        <w:rPr>
          <w:rFonts w:ascii="Trebuchet MS" w:hAnsi="Trebuchet MS"/>
          <w:sz w:val="22"/>
          <w:szCs w:val="22"/>
        </w:rPr>
        <w:t xml:space="preserve"> a les </w:t>
      </w:r>
      <w:proofErr w:type="spellStart"/>
      <w:r w:rsidRPr="00943D43">
        <w:rPr>
          <w:rFonts w:ascii="Trebuchet MS" w:hAnsi="Trebuchet MS"/>
          <w:sz w:val="22"/>
          <w:szCs w:val="22"/>
        </w:rPr>
        <w:t>grans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dimensions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d’aquesta</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comunitat</w:t>
      </w:r>
      <w:proofErr w:type="spellEnd"/>
      <w:r w:rsidRPr="00943D43">
        <w:rPr>
          <w:rFonts w:ascii="Trebuchet MS" w:hAnsi="Trebuchet MS"/>
          <w:sz w:val="22"/>
          <w:szCs w:val="22"/>
        </w:rPr>
        <w:t xml:space="preserve">, i també, </w:t>
      </w:r>
      <w:proofErr w:type="spellStart"/>
      <w:r w:rsidRPr="00943D43">
        <w:rPr>
          <w:rFonts w:ascii="Trebuchet MS" w:hAnsi="Trebuchet MS"/>
          <w:sz w:val="22"/>
          <w:szCs w:val="22"/>
        </w:rPr>
        <w:t>perquè</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els</w:t>
      </w:r>
      <w:proofErr w:type="spellEnd"/>
      <w:r w:rsidRPr="00943D43">
        <w:rPr>
          <w:rFonts w:ascii="Trebuchet MS" w:hAnsi="Trebuchet MS"/>
          <w:sz w:val="22"/>
          <w:szCs w:val="22"/>
        </w:rPr>
        <w:t xml:space="preserve"> impactes (</w:t>
      </w:r>
      <w:proofErr w:type="spellStart"/>
      <w:r w:rsidRPr="00943D43">
        <w:rPr>
          <w:rFonts w:ascii="Trebuchet MS" w:hAnsi="Trebuchet MS"/>
          <w:sz w:val="22"/>
          <w:szCs w:val="22"/>
        </w:rPr>
        <w:t>econòmics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ambientals</w:t>
      </w:r>
      <w:proofErr w:type="spellEnd"/>
      <w:r w:rsidRPr="00943D43">
        <w:rPr>
          <w:rFonts w:ascii="Trebuchet MS" w:hAnsi="Trebuchet MS"/>
          <w:sz w:val="22"/>
          <w:szCs w:val="22"/>
        </w:rPr>
        <w:t xml:space="preserve"> i </w:t>
      </w:r>
      <w:proofErr w:type="spellStart"/>
      <w:r w:rsidRPr="00943D43">
        <w:rPr>
          <w:rFonts w:ascii="Trebuchet MS" w:hAnsi="Trebuchet MS"/>
          <w:sz w:val="22"/>
          <w:szCs w:val="22"/>
        </w:rPr>
        <w:t>socials</w:t>
      </w:r>
      <w:proofErr w:type="spellEnd"/>
      <w:r w:rsidRPr="00943D43">
        <w:rPr>
          <w:rFonts w:ascii="Trebuchet MS" w:hAnsi="Trebuchet MS"/>
          <w:sz w:val="22"/>
          <w:szCs w:val="22"/>
        </w:rPr>
        <w:t xml:space="preserve">) del MA </w:t>
      </w:r>
      <w:proofErr w:type="spellStart"/>
      <w:r w:rsidRPr="00943D43">
        <w:rPr>
          <w:rFonts w:ascii="Trebuchet MS" w:hAnsi="Trebuchet MS"/>
          <w:sz w:val="22"/>
          <w:szCs w:val="22"/>
        </w:rPr>
        <w:t>produït</w:t>
      </w:r>
      <w:proofErr w:type="spellEnd"/>
      <w:r w:rsidRPr="00943D43">
        <w:rPr>
          <w:rFonts w:ascii="Trebuchet MS" w:hAnsi="Trebuchet MS"/>
          <w:sz w:val="22"/>
          <w:szCs w:val="22"/>
        </w:rPr>
        <w:t xml:space="preserve"> en les </w:t>
      </w:r>
      <w:proofErr w:type="spellStart"/>
      <w:r w:rsidRPr="00943D43">
        <w:rPr>
          <w:rFonts w:ascii="Trebuchet MS" w:hAnsi="Trebuchet MS"/>
          <w:sz w:val="22"/>
          <w:szCs w:val="22"/>
        </w:rPr>
        <w:t>últimes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baules</w:t>
      </w:r>
      <w:proofErr w:type="spellEnd"/>
      <w:r w:rsidRPr="00943D43">
        <w:rPr>
          <w:rFonts w:ascii="Trebuchet MS" w:hAnsi="Trebuchet MS"/>
          <w:sz w:val="22"/>
          <w:szCs w:val="22"/>
        </w:rPr>
        <w:t xml:space="preserve"> de la cadena alimentaria </w:t>
      </w:r>
      <w:proofErr w:type="spellStart"/>
      <w:r w:rsidRPr="00943D43">
        <w:rPr>
          <w:rFonts w:ascii="Trebuchet MS" w:hAnsi="Trebuchet MS"/>
          <w:sz w:val="22"/>
          <w:szCs w:val="22"/>
        </w:rPr>
        <w:t>són</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majors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Estudis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previs</w:t>
      </w:r>
      <w:proofErr w:type="spellEnd"/>
      <w:r w:rsidRPr="00943D43">
        <w:rPr>
          <w:rFonts w:ascii="Trebuchet MS" w:hAnsi="Trebuchet MS"/>
          <w:sz w:val="22"/>
          <w:szCs w:val="22"/>
        </w:rPr>
        <w:t xml:space="preserve"> reivindiquen el potencial de les “</w:t>
      </w:r>
      <w:proofErr w:type="spellStart"/>
      <w:r w:rsidRPr="00943D43">
        <w:rPr>
          <w:rFonts w:ascii="Trebuchet MS" w:hAnsi="Trebuchet MS"/>
          <w:sz w:val="22"/>
          <w:szCs w:val="22"/>
        </w:rPr>
        <w:t>nudging</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strategies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estratègies</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canvi</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comportament</w:t>
      </w:r>
      <w:proofErr w:type="spellEnd"/>
      <w:r w:rsidRPr="00943D43">
        <w:rPr>
          <w:rFonts w:ascii="Trebuchet MS" w:hAnsi="Trebuchet MS"/>
          <w:sz w:val="22"/>
          <w:szCs w:val="22"/>
        </w:rPr>
        <w:t xml:space="preserve">- per </w:t>
      </w:r>
      <w:proofErr w:type="spellStart"/>
      <w:r w:rsidRPr="00943D43">
        <w:rPr>
          <w:rFonts w:ascii="Trebuchet MS" w:hAnsi="Trebuchet MS"/>
          <w:sz w:val="22"/>
          <w:szCs w:val="22"/>
        </w:rPr>
        <w:t>reduir</w:t>
      </w:r>
      <w:proofErr w:type="spellEnd"/>
      <w:r w:rsidRPr="00943D43">
        <w:rPr>
          <w:rFonts w:ascii="Trebuchet MS" w:hAnsi="Trebuchet MS"/>
          <w:sz w:val="22"/>
          <w:szCs w:val="22"/>
        </w:rPr>
        <w:t xml:space="preserve"> el MA </w:t>
      </w:r>
      <w:proofErr w:type="spellStart"/>
      <w:r w:rsidRPr="00943D43">
        <w:rPr>
          <w:rFonts w:ascii="Trebuchet MS" w:hAnsi="Trebuchet MS"/>
          <w:sz w:val="22"/>
          <w:szCs w:val="22"/>
        </w:rPr>
        <w:t>produït</w:t>
      </w:r>
      <w:proofErr w:type="spellEnd"/>
      <w:r w:rsidRPr="00943D43">
        <w:rPr>
          <w:rFonts w:ascii="Trebuchet MS" w:hAnsi="Trebuchet MS"/>
          <w:sz w:val="22"/>
          <w:szCs w:val="22"/>
        </w:rPr>
        <w:t xml:space="preserve"> en </w:t>
      </w:r>
      <w:proofErr w:type="spellStart"/>
      <w:r w:rsidRPr="00943D43">
        <w:rPr>
          <w:rFonts w:ascii="Trebuchet MS" w:hAnsi="Trebuchet MS"/>
          <w:sz w:val="22"/>
          <w:szCs w:val="22"/>
        </w:rPr>
        <w:t>menjadors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universitaris</w:t>
      </w:r>
      <w:proofErr w:type="spellEnd"/>
      <w:r w:rsidRPr="00943D43">
        <w:rPr>
          <w:rFonts w:ascii="Trebuchet MS" w:hAnsi="Trebuchet MS"/>
          <w:sz w:val="22"/>
          <w:szCs w:val="22"/>
        </w:rPr>
        <w:t xml:space="preserve"> i </w:t>
      </w:r>
      <w:proofErr w:type="spellStart"/>
      <w:r w:rsidRPr="00943D43">
        <w:rPr>
          <w:rFonts w:ascii="Trebuchet MS" w:hAnsi="Trebuchet MS"/>
          <w:sz w:val="22"/>
          <w:szCs w:val="22"/>
        </w:rPr>
        <w:t>hotels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Aquest</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estudi</w:t>
      </w:r>
      <w:proofErr w:type="spellEnd"/>
      <w:r w:rsidRPr="00943D43">
        <w:rPr>
          <w:rFonts w:ascii="Trebuchet MS" w:hAnsi="Trebuchet MS"/>
          <w:sz w:val="22"/>
          <w:szCs w:val="22"/>
        </w:rPr>
        <w:t xml:space="preserve"> té </w:t>
      </w:r>
      <w:proofErr w:type="spellStart"/>
      <w:r w:rsidRPr="00943D43">
        <w:rPr>
          <w:rFonts w:ascii="Trebuchet MS" w:hAnsi="Trebuchet MS"/>
          <w:sz w:val="22"/>
          <w:szCs w:val="22"/>
        </w:rPr>
        <w:t>com</w:t>
      </w:r>
      <w:proofErr w:type="spellEnd"/>
      <w:r w:rsidRPr="00943D43">
        <w:rPr>
          <w:rFonts w:ascii="Trebuchet MS" w:hAnsi="Trebuchet MS"/>
          <w:sz w:val="22"/>
          <w:szCs w:val="22"/>
        </w:rPr>
        <w:t xml:space="preserve"> a </w:t>
      </w:r>
      <w:proofErr w:type="spellStart"/>
      <w:r w:rsidRPr="00943D43">
        <w:rPr>
          <w:rFonts w:ascii="Trebuchet MS" w:hAnsi="Trebuchet MS"/>
          <w:sz w:val="22"/>
          <w:szCs w:val="22"/>
        </w:rPr>
        <w:t>objectiu</w:t>
      </w:r>
      <w:proofErr w:type="spellEnd"/>
      <w:r w:rsidRPr="00943D43">
        <w:rPr>
          <w:rFonts w:ascii="Trebuchet MS" w:hAnsi="Trebuchet MS"/>
          <w:sz w:val="22"/>
          <w:szCs w:val="22"/>
        </w:rPr>
        <w:t xml:space="preserve"> avaluar </w:t>
      </w:r>
      <w:proofErr w:type="spellStart"/>
      <w:r w:rsidRPr="00943D43">
        <w:rPr>
          <w:rFonts w:ascii="Trebuchet MS" w:hAnsi="Trebuchet MS"/>
          <w:sz w:val="22"/>
          <w:szCs w:val="22"/>
        </w:rPr>
        <w:t>l'impacte</w:t>
      </w:r>
      <w:proofErr w:type="spellEnd"/>
      <w:r w:rsidRPr="00943D43">
        <w:rPr>
          <w:rFonts w:ascii="Trebuchet MS" w:hAnsi="Trebuchet MS"/>
          <w:sz w:val="22"/>
          <w:szCs w:val="22"/>
        </w:rPr>
        <w:t xml:space="preserve"> de les “</w:t>
      </w:r>
      <w:proofErr w:type="spellStart"/>
      <w:r w:rsidRPr="00943D43">
        <w:rPr>
          <w:rFonts w:ascii="Trebuchet MS" w:hAnsi="Trebuchet MS"/>
          <w:sz w:val="22"/>
          <w:szCs w:val="22"/>
        </w:rPr>
        <w:t>nudging</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strategies</w:t>
      </w:r>
      <w:proofErr w:type="spellEnd"/>
      <w:r w:rsidRPr="00943D43">
        <w:rPr>
          <w:rFonts w:ascii="Trebuchet MS" w:hAnsi="Trebuchet MS"/>
          <w:sz w:val="22"/>
          <w:szCs w:val="22"/>
        </w:rPr>
        <w:t xml:space="preserve">” en la </w:t>
      </w:r>
      <w:proofErr w:type="spellStart"/>
      <w:r w:rsidRPr="00943D43">
        <w:rPr>
          <w:rFonts w:ascii="Trebuchet MS" w:hAnsi="Trebuchet MS"/>
          <w:sz w:val="22"/>
          <w:szCs w:val="22"/>
        </w:rPr>
        <w:t>prevenció</w:t>
      </w:r>
      <w:proofErr w:type="spellEnd"/>
      <w:r w:rsidRPr="00943D43">
        <w:rPr>
          <w:rFonts w:ascii="Trebuchet MS" w:hAnsi="Trebuchet MS"/>
          <w:sz w:val="22"/>
          <w:szCs w:val="22"/>
        </w:rPr>
        <w:t xml:space="preserve"> del MA post-</w:t>
      </w:r>
      <w:proofErr w:type="spellStart"/>
      <w:r w:rsidRPr="00943D43">
        <w:rPr>
          <w:rFonts w:ascii="Trebuchet MS" w:hAnsi="Trebuchet MS"/>
          <w:sz w:val="22"/>
          <w:szCs w:val="22"/>
        </w:rPr>
        <w:t>consum</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als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menjadors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escolars</w:t>
      </w:r>
      <w:proofErr w:type="spellEnd"/>
      <w:r w:rsidRPr="00943D43">
        <w:rPr>
          <w:rFonts w:ascii="Trebuchet MS" w:hAnsi="Trebuchet MS"/>
          <w:sz w:val="22"/>
          <w:szCs w:val="22"/>
        </w:rPr>
        <w:t xml:space="preserve">. Per </w:t>
      </w:r>
      <w:proofErr w:type="spellStart"/>
      <w:r w:rsidRPr="00943D43">
        <w:rPr>
          <w:rFonts w:ascii="Trebuchet MS" w:hAnsi="Trebuchet MS"/>
          <w:sz w:val="22"/>
          <w:szCs w:val="22"/>
        </w:rPr>
        <w:t>fer-ho</w:t>
      </w:r>
      <w:proofErr w:type="spellEnd"/>
      <w:r w:rsidRPr="00943D43">
        <w:rPr>
          <w:rFonts w:ascii="Trebuchet MS" w:hAnsi="Trebuchet MS"/>
          <w:sz w:val="22"/>
          <w:szCs w:val="22"/>
        </w:rPr>
        <w:t xml:space="preserve">, aplica una </w:t>
      </w:r>
      <w:proofErr w:type="spellStart"/>
      <w:r w:rsidRPr="00943D43">
        <w:rPr>
          <w:rFonts w:ascii="Trebuchet MS" w:hAnsi="Trebuchet MS"/>
          <w:sz w:val="22"/>
          <w:szCs w:val="22"/>
        </w:rPr>
        <w:t>metodologia</w:t>
      </w:r>
      <w:proofErr w:type="spellEnd"/>
      <w:r w:rsidRPr="00943D43">
        <w:rPr>
          <w:rFonts w:ascii="Trebuchet MS" w:hAnsi="Trebuchet MS"/>
          <w:sz w:val="22"/>
          <w:szCs w:val="22"/>
        </w:rPr>
        <w:t xml:space="preserve"> de cinc </w:t>
      </w:r>
      <w:proofErr w:type="spellStart"/>
      <w:r w:rsidRPr="00943D43">
        <w:rPr>
          <w:rFonts w:ascii="Trebuchet MS" w:hAnsi="Trebuchet MS"/>
          <w:sz w:val="22"/>
          <w:szCs w:val="22"/>
        </w:rPr>
        <w:t>etapes</w:t>
      </w:r>
      <w:proofErr w:type="spellEnd"/>
      <w:r w:rsidRPr="00943D43">
        <w:rPr>
          <w:rFonts w:ascii="Trebuchet MS" w:hAnsi="Trebuchet MS"/>
          <w:sz w:val="22"/>
          <w:szCs w:val="22"/>
        </w:rPr>
        <w:t xml:space="preserve"> en 4 </w:t>
      </w:r>
      <w:proofErr w:type="spellStart"/>
      <w:r w:rsidRPr="00943D43">
        <w:rPr>
          <w:rFonts w:ascii="Trebuchet MS" w:hAnsi="Trebuchet MS"/>
          <w:sz w:val="22"/>
          <w:szCs w:val="22"/>
        </w:rPr>
        <w:t>menjadors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escolars</w:t>
      </w:r>
      <w:proofErr w:type="spellEnd"/>
      <w:r w:rsidRPr="00943D43">
        <w:rPr>
          <w:rFonts w:ascii="Trebuchet MS" w:hAnsi="Trebuchet MS"/>
          <w:sz w:val="22"/>
          <w:szCs w:val="22"/>
        </w:rPr>
        <w:t xml:space="preserve"> de la </w:t>
      </w:r>
      <w:proofErr w:type="spellStart"/>
      <w:r w:rsidRPr="00943D43">
        <w:rPr>
          <w:rFonts w:ascii="Trebuchet MS" w:hAnsi="Trebuchet MS"/>
          <w:sz w:val="22"/>
          <w:szCs w:val="22"/>
        </w:rPr>
        <w:t>regió</w:t>
      </w:r>
      <w:proofErr w:type="spellEnd"/>
      <w:r w:rsidRPr="00943D43">
        <w:rPr>
          <w:rFonts w:ascii="Trebuchet MS" w:hAnsi="Trebuchet MS"/>
          <w:sz w:val="22"/>
          <w:szCs w:val="22"/>
        </w:rPr>
        <w:t xml:space="preserve"> metropolitana de Barcelona, </w:t>
      </w:r>
      <w:proofErr w:type="spellStart"/>
      <w:r w:rsidRPr="00943D43">
        <w:rPr>
          <w:rFonts w:ascii="Trebuchet MS" w:hAnsi="Trebuchet MS"/>
          <w:sz w:val="22"/>
          <w:szCs w:val="22"/>
        </w:rPr>
        <w:t>com</w:t>
      </w:r>
      <w:proofErr w:type="spellEnd"/>
      <w:r w:rsidRPr="00943D43">
        <w:rPr>
          <w:rFonts w:ascii="Trebuchet MS" w:hAnsi="Trebuchet MS"/>
          <w:sz w:val="22"/>
          <w:szCs w:val="22"/>
        </w:rPr>
        <w:t xml:space="preserve"> a </w:t>
      </w:r>
      <w:proofErr w:type="spellStart"/>
      <w:r w:rsidRPr="00943D43">
        <w:rPr>
          <w:rFonts w:ascii="Trebuchet MS" w:hAnsi="Trebuchet MS"/>
          <w:sz w:val="22"/>
          <w:szCs w:val="22"/>
        </w:rPr>
        <w:t>estudis</w:t>
      </w:r>
      <w:proofErr w:type="spellEnd"/>
      <w:r w:rsidRPr="00943D43">
        <w:rPr>
          <w:rFonts w:ascii="Trebuchet MS" w:hAnsi="Trebuchet MS"/>
          <w:sz w:val="22"/>
          <w:szCs w:val="22"/>
        </w:rPr>
        <w:t xml:space="preserve"> de cas. El </w:t>
      </w:r>
      <w:proofErr w:type="spellStart"/>
      <w:r w:rsidRPr="00943D43">
        <w:rPr>
          <w:rFonts w:ascii="Trebuchet MS" w:hAnsi="Trebuchet MS"/>
          <w:sz w:val="22"/>
          <w:szCs w:val="22"/>
        </w:rPr>
        <w:t>present</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estudi</w:t>
      </w:r>
      <w:proofErr w:type="spellEnd"/>
      <w:r w:rsidRPr="00943D43">
        <w:rPr>
          <w:rFonts w:ascii="Trebuchet MS" w:hAnsi="Trebuchet MS"/>
          <w:sz w:val="22"/>
          <w:szCs w:val="22"/>
        </w:rPr>
        <w:t xml:space="preserve"> té </w:t>
      </w:r>
      <w:proofErr w:type="spellStart"/>
      <w:r w:rsidRPr="00943D43">
        <w:rPr>
          <w:rFonts w:ascii="Trebuchet MS" w:hAnsi="Trebuchet MS"/>
          <w:sz w:val="22"/>
          <w:szCs w:val="22"/>
        </w:rPr>
        <w:t>dues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contribucions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principals</w:t>
      </w:r>
      <w:proofErr w:type="spellEnd"/>
      <w:r w:rsidRPr="00943D43">
        <w:rPr>
          <w:rFonts w:ascii="Trebuchet MS" w:hAnsi="Trebuchet MS"/>
          <w:sz w:val="22"/>
          <w:szCs w:val="22"/>
        </w:rPr>
        <w:t xml:space="preserve">. Primer, ha </w:t>
      </w:r>
      <w:proofErr w:type="spellStart"/>
      <w:r w:rsidRPr="00943D43">
        <w:rPr>
          <w:rFonts w:ascii="Trebuchet MS" w:hAnsi="Trebuchet MS"/>
          <w:sz w:val="22"/>
          <w:szCs w:val="22"/>
        </w:rPr>
        <w:t>aportat</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dades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reals</w:t>
      </w:r>
      <w:proofErr w:type="spellEnd"/>
      <w:r w:rsidRPr="00943D43">
        <w:rPr>
          <w:rFonts w:ascii="Trebuchet MS" w:hAnsi="Trebuchet MS"/>
          <w:sz w:val="22"/>
          <w:szCs w:val="22"/>
        </w:rPr>
        <w:t xml:space="preserve"> de MA </w:t>
      </w:r>
      <w:proofErr w:type="spellStart"/>
      <w:r w:rsidRPr="00943D43">
        <w:rPr>
          <w:rFonts w:ascii="Trebuchet MS" w:hAnsi="Trebuchet MS"/>
          <w:sz w:val="22"/>
          <w:szCs w:val="22"/>
        </w:rPr>
        <w:t>estimant</w:t>
      </w:r>
      <w:proofErr w:type="spellEnd"/>
      <w:r w:rsidRPr="00943D43">
        <w:rPr>
          <w:rFonts w:ascii="Trebuchet MS" w:hAnsi="Trebuchet MS"/>
          <w:sz w:val="22"/>
          <w:szCs w:val="22"/>
        </w:rPr>
        <w:t xml:space="preserve"> un MA </w:t>
      </w:r>
      <w:proofErr w:type="spellStart"/>
      <w:r w:rsidRPr="00943D43">
        <w:rPr>
          <w:rFonts w:ascii="Trebuchet MS" w:hAnsi="Trebuchet MS"/>
          <w:sz w:val="22"/>
          <w:szCs w:val="22"/>
        </w:rPr>
        <w:t>diari</w:t>
      </w:r>
      <w:proofErr w:type="spellEnd"/>
      <w:r w:rsidRPr="00943D43">
        <w:rPr>
          <w:rFonts w:ascii="Trebuchet MS" w:hAnsi="Trebuchet MS"/>
          <w:sz w:val="22"/>
          <w:szCs w:val="22"/>
        </w:rPr>
        <w:t xml:space="preserve"> per comensal de 46 g. En </w:t>
      </w:r>
      <w:proofErr w:type="spellStart"/>
      <w:r w:rsidRPr="00943D43">
        <w:rPr>
          <w:rFonts w:ascii="Trebuchet MS" w:hAnsi="Trebuchet MS"/>
          <w:sz w:val="22"/>
          <w:szCs w:val="22"/>
        </w:rPr>
        <w:t>segon</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lloc</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s’ha</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estimat</w:t>
      </w:r>
      <w:proofErr w:type="spellEnd"/>
      <w:r w:rsidRPr="00943D43">
        <w:rPr>
          <w:rFonts w:ascii="Trebuchet MS" w:hAnsi="Trebuchet MS"/>
          <w:sz w:val="22"/>
          <w:szCs w:val="22"/>
        </w:rPr>
        <w:t xml:space="preserve"> un </w:t>
      </w:r>
      <w:proofErr w:type="spellStart"/>
      <w:r w:rsidRPr="00943D43">
        <w:rPr>
          <w:rFonts w:ascii="Trebuchet MS" w:hAnsi="Trebuchet MS"/>
          <w:sz w:val="22"/>
          <w:szCs w:val="22"/>
        </w:rPr>
        <w:t>nivell</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mitjà</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prevenció</w:t>
      </w:r>
      <w:proofErr w:type="spellEnd"/>
      <w:r w:rsidRPr="00943D43">
        <w:rPr>
          <w:rFonts w:ascii="Trebuchet MS" w:hAnsi="Trebuchet MS"/>
          <w:sz w:val="22"/>
          <w:szCs w:val="22"/>
        </w:rPr>
        <w:t xml:space="preserve"> del MA de 34% </w:t>
      </w:r>
      <w:proofErr w:type="spellStart"/>
      <w:r w:rsidRPr="00943D43">
        <w:rPr>
          <w:rFonts w:ascii="Trebuchet MS" w:hAnsi="Trebuchet MS"/>
          <w:sz w:val="22"/>
          <w:szCs w:val="22"/>
        </w:rPr>
        <w:t>després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d’aplicar</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diferents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estratègies</w:t>
      </w:r>
      <w:proofErr w:type="spellEnd"/>
      <w:r w:rsidRPr="00943D43">
        <w:rPr>
          <w:rFonts w:ascii="Trebuchet MS" w:hAnsi="Trebuchet MS"/>
          <w:sz w:val="22"/>
          <w:szCs w:val="22"/>
        </w:rPr>
        <w:t xml:space="preserve"> de </w:t>
      </w:r>
      <w:proofErr w:type="spellStart"/>
      <w:r w:rsidRPr="00943D43">
        <w:rPr>
          <w:rFonts w:ascii="Trebuchet MS" w:hAnsi="Trebuchet MS"/>
          <w:sz w:val="22"/>
          <w:szCs w:val="22"/>
        </w:rPr>
        <w:t>prevenció</w:t>
      </w:r>
      <w:proofErr w:type="spellEnd"/>
      <w:r w:rsidRPr="00943D43">
        <w:rPr>
          <w:rFonts w:ascii="Trebuchet MS" w:hAnsi="Trebuchet MS"/>
          <w:sz w:val="22"/>
          <w:szCs w:val="22"/>
        </w:rPr>
        <w:t xml:space="preserve"> entre </w:t>
      </w:r>
      <w:proofErr w:type="spellStart"/>
      <w:r w:rsidRPr="00943D43">
        <w:rPr>
          <w:rFonts w:ascii="Trebuchet MS" w:hAnsi="Trebuchet MS"/>
          <w:sz w:val="22"/>
          <w:szCs w:val="22"/>
        </w:rPr>
        <w:t>els</w:t>
      </w:r>
      <w:proofErr w:type="spellEnd"/>
      <w:r w:rsidRPr="00943D43">
        <w:rPr>
          <w:rFonts w:ascii="Trebuchet MS" w:hAnsi="Trebuchet MS"/>
          <w:sz w:val="22"/>
          <w:szCs w:val="22"/>
        </w:rPr>
        <w:t xml:space="preserve"> 4 </w:t>
      </w:r>
      <w:proofErr w:type="spellStart"/>
      <w:r w:rsidRPr="00943D43">
        <w:rPr>
          <w:rFonts w:ascii="Trebuchet MS" w:hAnsi="Trebuchet MS"/>
          <w:sz w:val="22"/>
          <w:szCs w:val="22"/>
        </w:rPr>
        <w:t>estudis</w:t>
      </w:r>
      <w:proofErr w:type="spellEnd"/>
      <w:r w:rsidRPr="00943D43">
        <w:rPr>
          <w:rFonts w:ascii="Trebuchet MS" w:hAnsi="Trebuchet MS"/>
          <w:sz w:val="22"/>
          <w:szCs w:val="22"/>
        </w:rPr>
        <w:t xml:space="preserve"> de cas. Per </w:t>
      </w:r>
      <w:proofErr w:type="spellStart"/>
      <w:r w:rsidRPr="00943D43">
        <w:rPr>
          <w:rFonts w:ascii="Trebuchet MS" w:hAnsi="Trebuchet MS"/>
          <w:sz w:val="22"/>
          <w:szCs w:val="22"/>
        </w:rPr>
        <w:t>tant</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aquests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resultats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permeten</w:t>
      </w:r>
      <w:proofErr w:type="spellEnd"/>
      <w:r w:rsidRPr="00943D43">
        <w:rPr>
          <w:rFonts w:ascii="Trebuchet MS" w:hAnsi="Trebuchet MS"/>
          <w:sz w:val="22"/>
          <w:szCs w:val="22"/>
        </w:rPr>
        <w:t xml:space="preserve"> considerar el potencial de les “</w:t>
      </w:r>
      <w:proofErr w:type="spellStart"/>
      <w:r w:rsidRPr="00943D43">
        <w:rPr>
          <w:rFonts w:ascii="Trebuchet MS" w:hAnsi="Trebuchet MS"/>
          <w:sz w:val="22"/>
          <w:szCs w:val="22"/>
        </w:rPr>
        <w:t>nudging</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strategies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com</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estratègies</w:t>
      </w:r>
      <w:proofErr w:type="spellEnd"/>
      <w:r w:rsidRPr="00943D43">
        <w:rPr>
          <w:rFonts w:ascii="Trebuchet MS" w:hAnsi="Trebuchet MS"/>
          <w:sz w:val="22"/>
          <w:szCs w:val="22"/>
        </w:rPr>
        <w:t xml:space="preserve"> innovadores per prevenir el MA </w:t>
      </w:r>
      <w:proofErr w:type="spellStart"/>
      <w:r w:rsidRPr="00943D43">
        <w:rPr>
          <w:rFonts w:ascii="Trebuchet MS" w:hAnsi="Trebuchet MS"/>
          <w:sz w:val="22"/>
          <w:szCs w:val="22"/>
        </w:rPr>
        <w:t>als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menjadors</w:t>
      </w:r>
      <w:proofErr w:type="spellEnd"/>
      <w:r w:rsidRPr="00943D43">
        <w:rPr>
          <w:rFonts w:ascii="Trebuchet MS" w:hAnsi="Trebuchet MS"/>
          <w:sz w:val="22"/>
          <w:szCs w:val="22"/>
        </w:rPr>
        <w:t xml:space="preserve"> </w:t>
      </w:r>
      <w:proofErr w:type="spellStart"/>
      <w:r w:rsidRPr="00943D43">
        <w:rPr>
          <w:rFonts w:ascii="Trebuchet MS" w:hAnsi="Trebuchet MS"/>
          <w:sz w:val="22"/>
          <w:szCs w:val="22"/>
        </w:rPr>
        <w:t>escolars</w:t>
      </w:r>
      <w:proofErr w:type="spellEnd"/>
      <w:r w:rsidRPr="00943D43">
        <w:rPr>
          <w:rFonts w:ascii="Trebuchet MS" w:hAnsi="Trebuchet MS"/>
          <w:sz w:val="22"/>
          <w:szCs w:val="22"/>
        </w:rPr>
        <w:t>.</w:t>
      </w:r>
    </w:p>
    <w:p w14:paraId="5F4A3E11" w14:textId="77777777" w:rsidR="00943D43" w:rsidRPr="00943D43" w:rsidRDefault="00943D43" w:rsidP="00943D43">
      <w:pPr>
        <w:jc w:val="both"/>
        <w:rPr>
          <w:rFonts w:ascii="Trebuchet MS" w:hAnsi="Trebuchet MS"/>
        </w:rPr>
      </w:pPr>
    </w:p>
    <w:p w14:paraId="3E3BFEE6" w14:textId="77777777" w:rsidR="00943D43" w:rsidRPr="00943D43" w:rsidRDefault="00943D43" w:rsidP="00943D43">
      <w:pPr>
        <w:jc w:val="both"/>
        <w:rPr>
          <w:rFonts w:ascii="Trebuchet MS" w:hAnsi="Trebuchet MS"/>
        </w:rPr>
      </w:pPr>
      <w:r w:rsidRPr="00943D43">
        <w:rPr>
          <w:rFonts w:ascii="Trebuchet MS" w:hAnsi="Trebuchet MS"/>
        </w:rPr>
        <w:t xml:space="preserve">Título: </w:t>
      </w:r>
      <w:r w:rsidRPr="00943D43">
        <w:rPr>
          <w:rFonts w:ascii="Trebuchet MS" w:hAnsi="Trebuchet MS"/>
          <w:b/>
        </w:rPr>
        <w:t>Prevención del desperdició alimentario en los comedores escolares del Área Metropolitana de Barcelona</w:t>
      </w:r>
    </w:p>
    <w:p w14:paraId="1EAE868A" w14:textId="77777777" w:rsidR="00943D43" w:rsidRPr="00943D43" w:rsidRDefault="00FC61BC" w:rsidP="00943D43">
      <w:pPr>
        <w:jc w:val="both"/>
        <w:rPr>
          <w:rFonts w:ascii="Trebuchet MS" w:hAnsi="Trebuchet MS"/>
        </w:rPr>
      </w:pPr>
      <w:bookmarkStart w:id="0" w:name="_GoBack"/>
      <w:r w:rsidRPr="00FC61BC">
        <w:rPr>
          <w:rFonts w:ascii="Trebuchet MS" w:hAnsi="Trebuchet MS"/>
          <w:b/>
        </w:rPr>
        <w:t>Resumen:</w:t>
      </w:r>
      <w:bookmarkEnd w:id="0"/>
      <w:r>
        <w:rPr>
          <w:rFonts w:ascii="Trebuchet MS" w:hAnsi="Trebuchet MS"/>
        </w:rPr>
        <w:t xml:space="preserve"> </w:t>
      </w:r>
      <w:r w:rsidR="00943D43" w:rsidRPr="00943D43">
        <w:rPr>
          <w:rFonts w:ascii="Trebuchet MS" w:hAnsi="Trebuchet MS"/>
        </w:rPr>
        <w:t>La prevención del desperdicio alimentario (DA) es una de las medidas esenciales para alcanzar los Objetivos de Desarrollo Sostenible. Hasta ahora, la mayoría de los estudios se han centrado en analizar el concepto, las causas y la valorización del DA, entre otros aspectos, aunque todavía faltan datos reales de volúmenes de DA, así como evaluar el impacto de diferentes estrategias de prevención. El sector de la restauración colectiva, como los comedores escolares, ofrecen un escenario adecuado para evaluar diferentes estrategias de prevención del DA por las dimensiones de esta comunidad, y también, porque los impactos (económicos, ambientales y sociales) del DA producido en los últimos eslabones de la cadena alimentaria son mayores. Investigaciones previas reivindican el potencial de las "</w:t>
      </w:r>
      <w:proofErr w:type="spellStart"/>
      <w:r w:rsidR="00943D43" w:rsidRPr="00943D43">
        <w:rPr>
          <w:rFonts w:ascii="Trebuchet MS" w:hAnsi="Trebuchet MS"/>
        </w:rPr>
        <w:t>nudging</w:t>
      </w:r>
      <w:proofErr w:type="spellEnd"/>
      <w:r w:rsidR="00943D43" w:rsidRPr="00943D43">
        <w:rPr>
          <w:rFonts w:ascii="Trebuchet MS" w:hAnsi="Trebuchet MS"/>
        </w:rPr>
        <w:t xml:space="preserve"> </w:t>
      </w:r>
      <w:proofErr w:type="spellStart"/>
      <w:r w:rsidR="00943D43" w:rsidRPr="00943D43">
        <w:rPr>
          <w:rFonts w:ascii="Trebuchet MS" w:hAnsi="Trebuchet MS"/>
        </w:rPr>
        <w:t>strategies</w:t>
      </w:r>
      <w:proofErr w:type="spellEnd"/>
      <w:r w:rsidR="00943D43" w:rsidRPr="00943D43">
        <w:rPr>
          <w:rFonts w:ascii="Trebuchet MS" w:hAnsi="Trebuchet MS"/>
        </w:rPr>
        <w:t>" - estrategias de cambio de comportamiento- para reducir el DA producido en comedores universitarios y hoteles. El presente estudio tiene como objetivo evaluar el impacto de las "</w:t>
      </w:r>
      <w:proofErr w:type="spellStart"/>
      <w:r w:rsidR="00943D43" w:rsidRPr="00943D43">
        <w:rPr>
          <w:rFonts w:ascii="Trebuchet MS" w:hAnsi="Trebuchet MS"/>
        </w:rPr>
        <w:t>nudging</w:t>
      </w:r>
      <w:proofErr w:type="spellEnd"/>
      <w:r w:rsidR="00943D43" w:rsidRPr="00943D43">
        <w:rPr>
          <w:rFonts w:ascii="Trebuchet MS" w:hAnsi="Trebuchet MS"/>
        </w:rPr>
        <w:t xml:space="preserve"> </w:t>
      </w:r>
      <w:proofErr w:type="spellStart"/>
      <w:r w:rsidR="00943D43" w:rsidRPr="00943D43">
        <w:rPr>
          <w:rFonts w:ascii="Trebuchet MS" w:hAnsi="Trebuchet MS"/>
        </w:rPr>
        <w:t>strategies</w:t>
      </w:r>
      <w:proofErr w:type="spellEnd"/>
      <w:r w:rsidR="00943D43" w:rsidRPr="00943D43">
        <w:rPr>
          <w:rFonts w:ascii="Trebuchet MS" w:hAnsi="Trebuchet MS"/>
        </w:rPr>
        <w:t>" en la prevención del DA post-consumo en los comedores escolares. Para ello, aplica una metodología, basada en cinco etapas, en 4 comedores escolares de la región metropolitana de Barcelona, como estudios de caso. El presente estudio tiene dos contribuciones principales. Primero, ha proporcionado datos de DA reales estimando un DA diario por comensal de 46 g. En segundo lugar, se ha estimado un nivel medio de prevención del DA de 34% después de aplicar diferentes estrategias de prevención entre los estudios de caso. Por lo tanto, estos resultados permiten considerar el potencial de las "</w:t>
      </w:r>
      <w:proofErr w:type="spellStart"/>
      <w:r w:rsidR="00943D43" w:rsidRPr="00943D43">
        <w:rPr>
          <w:rFonts w:ascii="Trebuchet MS" w:hAnsi="Trebuchet MS"/>
        </w:rPr>
        <w:t>nudging</w:t>
      </w:r>
      <w:proofErr w:type="spellEnd"/>
      <w:r w:rsidR="00943D43" w:rsidRPr="00943D43">
        <w:rPr>
          <w:rFonts w:ascii="Trebuchet MS" w:hAnsi="Trebuchet MS"/>
        </w:rPr>
        <w:t xml:space="preserve"> </w:t>
      </w:r>
      <w:proofErr w:type="spellStart"/>
      <w:r w:rsidR="00943D43" w:rsidRPr="00943D43">
        <w:rPr>
          <w:rFonts w:ascii="Trebuchet MS" w:hAnsi="Trebuchet MS"/>
        </w:rPr>
        <w:t>strategies</w:t>
      </w:r>
      <w:proofErr w:type="spellEnd"/>
      <w:r w:rsidR="00943D43" w:rsidRPr="00943D43">
        <w:rPr>
          <w:rFonts w:ascii="Trebuchet MS" w:hAnsi="Trebuchet MS"/>
        </w:rPr>
        <w:t xml:space="preserve">" como estrategias innovadoras para prevenir el DA en los comedores escolares. </w:t>
      </w:r>
    </w:p>
    <w:p w14:paraId="286C0C77" w14:textId="77777777" w:rsidR="00943D43" w:rsidRPr="00943D43" w:rsidRDefault="00943D43" w:rsidP="00943D43">
      <w:pPr>
        <w:jc w:val="both"/>
        <w:rPr>
          <w:rFonts w:ascii="Trebuchet MS" w:hAnsi="Trebuchet MS"/>
        </w:rPr>
      </w:pPr>
    </w:p>
    <w:p w14:paraId="5426EAC6" w14:textId="77777777" w:rsidR="00943D43" w:rsidRDefault="00943D43" w:rsidP="00943D43">
      <w:pPr>
        <w:pStyle w:val="Default"/>
        <w:jc w:val="both"/>
        <w:rPr>
          <w:rFonts w:ascii="Trebuchet MS" w:hAnsi="Trebuchet MS"/>
          <w:b/>
          <w:sz w:val="22"/>
          <w:szCs w:val="22"/>
          <w:lang w:val="en-GB"/>
        </w:rPr>
      </w:pPr>
      <w:r w:rsidRPr="00943D43">
        <w:rPr>
          <w:rFonts w:ascii="Trebuchet MS" w:hAnsi="Trebuchet MS"/>
          <w:lang w:val="en-GB"/>
        </w:rPr>
        <w:t xml:space="preserve">Title: </w:t>
      </w:r>
      <w:r w:rsidRPr="00943D43">
        <w:rPr>
          <w:rFonts w:ascii="Trebuchet MS" w:hAnsi="Trebuchet MS"/>
          <w:lang w:val="en-GB"/>
        </w:rPr>
        <w:t xml:space="preserve"> </w:t>
      </w:r>
      <w:r w:rsidRPr="00943D43">
        <w:rPr>
          <w:rFonts w:ascii="Trebuchet MS" w:hAnsi="Trebuchet MS"/>
          <w:b/>
          <w:sz w:val="22"/>
          <w:szCs w:val="22"/>
          <w:lang w:val="en-GB"/>
        </w:rPr>
        <w:t>Food waste (FW) prevention</w:t>
      </w:r>
      <w:r w:rsidRPr="00943D43">
        <w:rPr>
          <w:rFonts w:ascii="Trebuchet MS" w:hAnsi="Trebuchet MS"/>
          <w:b/>
          <w:sz w:val="22"/>
          <w:szCs w:val="22"/>
          <w:lang w:val="en-GB"/>
        </w:rPr>
        <w:t xml:space="preserve"> in the school canteens of the Barcelona Metropolitan Area </w:t>
      </w:r>
    </w:p>
    <w:p w14:paraId="74099AF3" w14:textId="77777777" w:rsidR="00FC61BC" w:rsidRPr="00943D43" w:rsidRDefault="00FC61BC" w:rsidP="00943D43">
      <w:pPr>
        <w:pStyle w:val="Default"/>
        <w:jc w:val="both"/>
        <w:rPr>
          <w:rFonts w:ascii="Trebuchet MS" w:hAnsi="Trebuchet MS"/>
          <w:sz w:val="22"/>
          <w:szCs w:val="22"/>
          <w:lang w:val="en-GB"/>
        </w:rPr>
      </w:pPr>
    </w:p>
    <w:p w14:paraId="2F8A4122" w14:textId="77777777" w:rsidR="00943D43" w:rsidRPr="00943D43" w:rsidRDefault="00943D43" w:rsidP="00943D43">
      <w:pPr>
        <w:pStyle w:val="Default"/>
        <w:jc w:val="both"/>
        <w:rPr>
          <w:rFonts w:ascii="Trebuchet MS" w:hAnsi="Trebuchet MS"/>
          <w:lang w:val="en-GB"/>
        </w:rPr>
      </w:pPr>
      <w:r w:rsidRPr="00FC61BC">
        <w:rPr>
          <w:rFonts w:ascii="Trebuchet MS" w:hAnsi="Trebuchet MS"/>
          <w:b/>
          <w:sz w:val="22"/>
          <w:szCs w:val="22"/>
          <w:lang w:val="en-GB"/>
        </w:rPr>
        <w:t>Abstract:</w:t>
      </w:r>
      <w:r w:rsidRPr="00943D43">
        <w:rPr>
          <w:rFonts w:ascii="Trebuchet MS" w:hAnsi="Trebuchet MS"/>
          <w:sz w:val="22"/>
          <w:szCs w:val="22"/>
          <w:lang w:val="en-GB"/>
        </w:rPr>
        <w:t xml:space="preserve"> </w:t>
      </w:r>
      <w:r w:rsidRPr="00943D43">
        <w:rPr>
          <w:rFonts w:ascii="Trebuchet MS" w:hAnsi="Trebuchet MS"/>
          <w:lang w:val="en-GB"/>
        </w:rPr>
        <w:t xml:space="preserve"> </w:t>
      </w:r>
      <w:r w:rsidRPr="00943D43">
        <w:rPr>
          <w:rFonts w:ascii="Trebuchet MS" w:hAnsi="Trebuchet MS"/>
          <w:sz w:val="22"/>
          <w:szCs w:val="22"/>
          <w:lang w:val="en-GB"/>
        </w:rPr>
        <w:t xml:space="preserve">Food waste (FW) prevention is an essential measure to contribute to the achievement of the Sustainable Development Goals. Until now, most research has focused on analysing the concept, the causes and different recovery options of FW among others, but still there is a lack of data on FW volumes and impact assessment of prevention strategies. Foodservices, such as school canteens, offer a proper scenario to evaluate different FW prevention strategies due to the scope of this community, and because FW at later stages of the FSC have greater impacts. Previous research claims the potential of nudging strategies to prevent FW in restoration services (university canteens and hotels). This paper aims at evaluating nudging strategies’ impact on FW prevention in school canteens. To do so, it applies a </w:t>
      </w:r>
      <w:proofErr w:type="gramStart"/>
      <w:r w:rsidRPr="00943D43">
        <w:rPr>
          <w:rFonts w:ascii="Trebuchet MS" w:hAnsi="Trebuchet MS"/>
          <w:sz w:val="22"/>
          <w:szCs w:val="22"/>
          <w:lang w:val="en-GB"/>
        </w:rPr>
        <w:t>five stage</w:t>
      </w:r>
      <w:proofErr w:type="gramEnd"/>
      <w:r w:rsidRPr="00943D43">
        <w:rPr>
          <w:rFonts w:ascii="Trebuchet MS" w:hAnsi="Trebuchet MS"/>
          <w:sz w:val="22"/>
          <w:szCs w:val="22"/>
          <w:lang w:val="en-GB"/>
        </w:rPr>
        <w:t xml:space="preserve"> methodology in 4 school canteens of the metropolitan region of Barcelona as case studies. This study has two main contributions. First, </w:t>
      </w:r>
      <w:r>
        <w:rPr>
          <w:rFonts w:ascii="Trebuchet MS" w:hAnsi="Trebuchet MS"/>
          <w:sz w:val="22"/>
          <w:szCs w:val="22"/>
          <w:lang w:val="en-GB"/>
        </w:rPr>
        <w:t>by</w:t>
      </w:r>
      <w:r w:rsidRPr="00943D43">
        <w:rPr>
          <w:rFonts w:ascii="Trebuchet MS" w:hAnsi="Trebuchet MS"/>
          <w:sz w:val="22"/>
          <w:szCs w:val="22"/>
          <w:lang w:val="en-GB"/>
        </w:rPr>
        <w:t xml:space="preserve"> providing real FW data by estimating a daily FW of 46 g per dinner. Secondly, it estimated a 34% FW prevention among the 4 case studies after applying different prevention strategies. Thus, nudging strategies could be considered innovative strategies to prevent FW in school canteens.</w:t>
      </w:r>
    </w:p>
    <w:sectPr w:rsidR="00943D43" w:rsidRPr="00943D4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D36A" w14:textId="77777777" w:rsidR="00943D43" w:rsidRDefault="00943D43" w:rsidP="00943D43">
      <w:pPr>
        <w:spacing w:after="0" w:line="240" w:lineRule="auto"/>
      </w:pPr>
      <w:r>
        <w:separator/>
      </w:r>
    </w:p>
  </w:endnote>
  <w:endnote w:type="continuationSeparator" w:id="0">
    <w:p w14:paraId="39771180" w14:textId="77777777" w:rsidR="00943D43" w:rsidRDefault="00943D43" w:rsidP="0094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5A6C" w14:textId="77777777" w:rsidR="00943D43" w:rsidRDefault="00943D43" w:rsidP="00943D43">
      <w:pPr>
        <w:spacing w:after="0" w:line="240" w:lineRule="auto"/>
      </w:pPr>
      <w:r>
        <w:separator/>
      </w:r>
    </w:p>
  </w:footnote>
  <w:footnote w:type="continuationSeparator" w:id="0">
    <w:p w14:paraId="2A6630C5" w14:textId="77777777" w:rsidR="00943D43" w:rsidRDefault="00943D43" w:rsidP="0094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E757" w14:textId="77777777" w:rsidR="00943D43" w:rsidRPr="00943D43" w:rsidRDefault="00943D43" w:rsidP="00943D43">
    <w:pPr>
      <w:pStyle w:val="Encabezado"/>
      <w:jc w:val="right"/>
      <w:rPr>
        <w:sz w:val="18"/>
        <w:szCs w:val="18"/>
      </w:rPr>
    </w:pPr>
    <w:r>
      <w:rPr>
        <w:noProof/>
      </w:rPr>
      <w:drawing>
        <wp:anchor distT="0" distB="0" distL="114300" distR="114300" simplePos="0" relativeHeight="251658240" behindDoc="0" locked="0" layoutInCell="1" allowOverlap="1" wp14:anchorId="44B132DA" wp14:editId="5CF8BA0C">
          <wp:simplePos x="0" y="0"/>
          <wp:positionH relativeFrom="margin">
            <wp:posOffset>-127000</wp:posOffset>
          </wp:positionH>
          <wp:positionV relativeFrom="margin">
            <wp:posOffset>-552450</wp:posOffset>
          </wp:positionV>
          <wp:extent cx="1701800" cy="273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273050"/>
                  </a:xfrm>
                  <a:prstGeom prst="rect">
                    <a:avLst/>
                  </a:prstGeom>
                  <a:noFill/>
                  <a:ln>
                    <a:noFill/>
                  </a:ln>
                </pic:spPr>
              </pic:pic>
            </a:graphicData>
          </a:graphic>
        </wp:anchor>
      </w:drawing>
    </w:r>
    <w:r>
      <w:t xml:space="preserve">            </w:t>
    </w:r>
    <w:proofErr w:type="spellStart"/>
    <w:r w:rsidRPr="00943D43">
      <w:rPr>
        <w:sz w:val="18"/>
        <w:szCs w:val="18"/>
      </w:rPr>
      <w:t>Segona</w:t>
    </w:r>
    <w:proofErr w:type="spellEnd"/>
    <w:r w:rsidRPr="00943D43">
      <w:rPr>
        <w:sz w:val="18"/>
        <w:szCs w:val="18"/>
      </w:rPr>
      <w:t xml:space="preserve"> </w:t>
    </w:r>
    <w:proofErr w:type="spellStart"/>
    <w:r w:rsidRPr="00943D43">
      <w:rPr>
        <w:sz w:val="18"/>
        <w:szCs w:val="18"/>
      </w:rPr>
      <w:t>Edició</w:t>
    </w:r>
    <w:proofErr w:type="spellEnd"/>
    <w:r w:rsidRPr="00943D43">
      <w:rPr>
        <w:sz w:val="18"/>
        <w:szCs w:val="18"/>
      </w:rPr>
      <w:t xml:space="preserve"> del </w:t>
    </w:r>
    <w:proofErr w:type="spellStart"/>
    <w:r w:rsidRPr="00943D43">
      <w:rPr>
        <w:sz w:val="18"/>
        <w:szCs w:val="18"/>
      </w:rPr>
      <w:t>Simposi</w:t>
    </w:r>
    <w:proofErr w:type="spellEnd"/>
    <w:r w:rsidRPr="00943D43">
      <w:rPr>
        <w:sz w:val="18"/>
        <w:szCs w:val="18"/>
      </w:rPr>
      <w:t xml:space="preserve"> </w:t>
    </w:r>
    <w:proofErr w:type="spellStart"/>
    <w:r w:rsidRPr="00943D43">
      <w:rPr>
        <w:sz w:val="18"/>
        <w:szCs w:val="18"/>
      </w:rPr>
      <w:t>Premis</w:t>
    </w:r>
    <w:proofErr w:type="spellEnd"/>
    <w:r w:rsidRPr="00943D43">
      <w:rPr>
        <w:sz w:val="18"/>
        <w:szCs w:val="18"/>
      </w:rPr>
      <w:t xml:space="preserve"> IND+I </w:t>
    </w:r>
    <w:proofErr w:type="spellStart"/>
    <w:r w:rsidRPr="00943D43">
      <w:rPr>
        <w:sz w:val="18"/>
        <w:szCs w:val="18"/>
      </w:rPr>
      <w:t>Science</w:t>
    </w:r>
    <w:proofErr w:type="spellEnd"/>
    <w:r w:rsidRPr="00943D43">
      <w:rPr>
        <w:sz w:val="18"/>
        <w:szCs w:val="18"/>
      </w:rPr>
      <w:t xml:space="preserve"> </w:t>
    </w:r>
    <w:proofErr w:type="spellStart"/>
    <w:r w:rsidRPr="00943D43">
      <w:rPr>
        <w:sz w:val="18"/>
        <w:szCs w:val="18"/>
      </w:rPr>
      <w:t>Febrer</w:t>
    </w:r>
    <w:proofErr w:type="spellEnd"/>
    <w:r w:rsidRPr="00943D43">
      <w:rPr>
        <w:sz w:val="18"/>
        <w:szCs w:val="18"/>
      </w:rPr>
      <w:t xml:space="preserve"> de 2020</w:t>
    </w:r>
  </w:p>
  <w:p w14:paraId="6A0FEB97" w14:textId="77777777" w:rsidR="00943D43" w:rsidRDefault="00943D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3"/>
    <w:rsid w:val="004B49AD"/>
    <w:rsid w:val="00943D43"/>
    <w:rsid w:val="00FC6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56DDF"/>
  <w15:chartTrackingRefBased/>
  <w15:docId w15:val="{BE2B737F-5FB5-4D8B-AB81-6ABCB600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43D43"/>
    <w:rPr>
      <w:b/>
      <w:bCs/>
    </w:rPr>
  </w:style>
  <w:style w:type="paragraph" w:customStyle="1" w:styleId="Default">
    <w:name w:val="Default"/>
    <w:rsid w:val="00943D4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943D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3D43"/>
  </w:style>
  <w:style w:type="paragraph" w:styleId="Piedepgina">
    <w:name w:val="footer"/>
    <w:basedOn w:val="Normal"/>
    <w:link w:val="PiedepginaCar"/>
    <w:uiPriority w:val="99"/>
    <w:unhideWhenUsed/>
    <w:rsid w:val="00943D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67F97B0F9BE141B95A245159F1EB05" ma:contentTypeVersion="13" ma:contentTypeDescription="Crear nuevo documento." ma:contentTypeScope="" ma:versionID="ab9f870c4ce142a03dc8791d63b0940d">
  <xsd:schema xmlns:xsd="http://www.w3.org/2001/XMLSchema" xmlns:xs="http://www.w3.org/2001/XMLSchema" xmlns:p="http://schemas.microsoft.com/office/2006/metadata/properties" xmlns:ns3="2732223d-38f2-48e4-b54f-7c9538a79360" xmlns:ns4="ebba159d-3bd6-48b2-a51e-04b9225074ef" targetNamespace="http://schemas.microsoft.com/office/2006/metadata/properties" ma:root="true" ma:fieldsID="d70830aaf47a087fbe1c398a60fb8c0a" ns3:_="" ns4:_="">
    <xsd:import namespace="2732223d-38f2-48e4-b54f-7c9538a79360"/>
    <xsd:import namespace="ebba159d-3bd6-48b2-a51e-04b9225074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223d-38f2-48e4-b54f-7c9538a79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a159d-3bd6-48b2-a51e-04b9225074e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DEED7-333B-4543-95DA-34B226C3B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223d-38f2-48e4-b54f-7c9538a79360"/>
    <ds:schemaRef ds:uri="ebba159d-3bd6-48b2-a51e-04b922507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68937-9D3E-458C-9D6E-4BB1133330E1}">
  <ds:schemaRefs>
    <ds:schemaRef ds:uri="http://schemas.microsoft.com/sharepoint/v3/contenttype/forms"/>
  </ds:schemaRefs>
</ds:datastoreItem>
</file>

<file path=customXml/itemProps3.xml><?xml version="1.0" encoding="utf-8"?>
<ds:datastoreItem xmlns:ds="http://schemas.openxmlformats.org/officeDocument/2006/customXml" ds:itemID="{E9A31834-2595-440D-9549-692275566DA9}">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ebba159d-3bd6-48b2-a51e-04b9225074ef"/>
    <ds:schemaRef ds:uri="http://schemas.openxmlformats.org/package/2006/metadata/core-properties"/>
    <ds:schemaRef ds:uri="2732223d-38f2-48e4-b54f-7c9538a7936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Capel</dc:creator>
  <cp:keywords/>
  <dc:description/>
  <cp:lastModifiedBy>Laura Capel</cp:lastModifiedBy>
  <cp:revision>1</cp:revision>
  <dcterms:created xsi:type="dcterms:W3CDTF">2020-01-30T15:46:00Z</dcterms:created>
  <dcterms:modified xsi:type="dcterms:W3CDTF">2020-01-30T15:58:00Z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0x0101009567F97B0F9BE141B95A245159F1EB05</vt:lpwstr>
  </property>
</Properties>
</file>